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5746" w14:textId="37ACADEE" w:rsidR="00C960BF" w:rsidRPr="000F0D03" w:rsidRDefault="000B47A8">
      <w:pPr>
        <w:rPr>
          <w:rFonts w:cstheme="minorHAnsi"/>
          <w:sz w:val="40"/>
          <w:szCs w:val="40"/>
        </w:rPr>
      </w:pPr>
      <w:r w:rsidRPr="000F0D03">
        <w:rPr>
          <w:rFonts w:cstheme="minorHAnsi"/>
          <w:sz w:val="40"/>
          <w:szCs w:val="40"/>
        </w:rPr>
        <w:t xml:space="preserve">Objectives </w:t>
      </w:r>
    </w:p>
    <w:p w14:paraId="7699464B" w14:textId="77777777" w:rsidR="000B47A8" w:rsidRPr="000F0D03" w:rsidRDefault="000B47A8">
      <w:pPr>
        <w:rPr>
          <w:rFonts w:cstheme="minorHAnsi"/>
          <w:sz w:val="40"/>
          <w:szCs w:val="40"/>
        </w:rPr>
      </w:pPr>
    </w:p>
    <w:p w14:paraId="1375E644" w14:textId="77777777" w:rsidR="0029210C" w:rsidRPr="0029210C" w:rsidRDefault="0029210C" w:rsidP="0029210C">
      <w:pPr>
        <w:shd w:val="clear" w:color="auto" w:fill="FFFFFF"/>
        <w:spacing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b/>
          <w:bCs/>
          <w:color w:val="3C3C3C"/>
        </w:rPr>
        <w:t>What you will learn</w:t>
      </w:r>
    </w:p>
    <w:p w14:paraId="2D0F78C6" w14:textId="77777777" w:rsidR="0029210C" w:rsidRPr="0029210C" w:rsidRDefault="0029210C" w:rsidP="0029210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Learn to manage patient visits, arrange follow-up care, and issue prescriptions</w:t>
      </w:r>
    </w:p>
    <w:p w14:paraId="45991501" w14:textId="77777777" w:rsidR="0029210C" w:rsidRPr="0029210C" w:rsidRDefault="0029210C" w:rsidP="0029210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Keep track of vital information such as patient allergies and medications</w:t>
      </w:r>
    </w:p>
    <w:p w14:paraId="1CC78F5F" w14:textId="77777777" w:rsidR="0029210C" w:rsidRPr="0029210C" w:rsidRDefault="0029210C" w:rsidP="0029210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Understand how to best read and interpret health records</w:t>
      </w:r>
    </w:p>
    <w:p w14:paraId="2ED3F858" w14:textId="77777777" w:rsidR="0029210C" w:rsidRPr="0029210C" w:rsidRDefault="0029210C" w:rsidP="0029210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Learn how to communicate with patients and report public health information</w:t>
      </w:r>
    </w:p>
    <w:p w14:paraId="14EB10BA" w14:textId="77777777" w:rsidR="0029210C" w:rsidRPr="0029210C" w:rsidRDefault="0029210C" w:rsidP="0029210C">
      <w:pPr>
        <w:shd w:val="clear" w:color="auto" w:fill="FFFFFF"/>
        <w:spacing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b/>
          <w:bCs/>
          <w:color w:val="3C3C3C"/>
        </w:rPr>
        <w:t>How you will benefit</w:t>
      </w:r>
    </w:p>
    <w:p w14:paraId="18ED715C" w14:textId="77777777" w:rsidR="0029210C" w:rsidRPr="0029210C" w:rsidRDefault="0029210C" w:rsidP="0029210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Establish the appropriate EHR for your practice</w:t>
      </w:r>
    </w:p>
    <w:p w14:paraId="68229C54" w14:textId="77777777" w:rsidR="0029210C" w:rsidRPr="0029210C" w:rsidRDefault="0029210C" w:rsidP="0029210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 xml:space="preserve">Prepare to take the National </w:t>
      </w:r>
      <w:proofErr w:type="spellStart"/>
      <w:r w:rsidRPr="0029210C">
        <w:rPr>
          <w:rFonts w:ascii="Open Sans" w:eastAsia="Times New Roman" w:hAnsi="Open Sans" w:cs="Open Sans"/>
          <w:color w:val="3C3C3C"/>
        </w:rPr>
        <w:t>Healthcareer</w:t>
      </w:r>
      <w:proofErr w:type="spellEnd"/>
      <w:r w:rsidRPr="0029210C">
        <w:rPr>
          <w:rFonts w:ascii="Open Sans" w:eastAsia="Times New Roman" w:hAnsi="Open Sans" w:cs="Open Sans"/>
          <w:color w:val="3C3C3C"/>
        </w:rPr>
        <w:t xml:space="preserve"> Association's (NHA) CEHRS certification exam</w:t>
      </w:r>
    </w:p>
    <w:p w14:paraId="12D42E6A" w14:textId="77777777" w:rsidR="0029210C" w:rsidRPr="0029210C" w:rsidRDefault="0029210C" w:rsidP="0029210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Develop the communication style needed to communicate positively and efficiently with patients and medical workers</w:t>
      </w:r>
    </w:p>
    <w:p w14:paraId="7105618F" w14:textId="77777777" w:rsidR="0029210C" w:rsidRPr="0029210C" w:rsidRDefault="0029210C" w:rsidP="0029210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Jump-start your career as a health information clerk, medical records coordinator, electronic medical records technician, or electronic medical records specialist</w:t>
      </w:r>
    </w:p>
    <w:p w14:paraId="67893C13" w14:textId="77777777" w:rsidR="0029210C" w:rsidRDefault="0029210C" w:rsidP="0029210C">
      <w:pPr>
        <w:pStyle w:val="ListParagraph"/>
        <w:rPr>
          <w:rFonts w:cstheme="minorHAnsi"/>
          <w:sz w:val="40"/>
          <w:szCs w:val="40"/>
        </w:rPr>
      </w:pPr>
    </w:p>
    <w:p w14:paraId="173C0D05" w14:textId="77777777" w:rsidR="0029210C" w:rsidRDefault="0029210C" w:rsidP="0029210C">
      <w:pPr>
        <w:pStyle w:val="ListParagraph"/>
        <w:rPr>
          <w:rFonts w:cstheme="minorHAnsi"/>
          <w:sz w:val="40"/>
          <w:szCs w:val="40"/>
        </w:rPr>
      </w:pPr>
    </w:p>
    <w:p w14:paraId="5BCAA45A" w14:textId="66FB9159" w:rsidR="000F0D03" w:rsidRPr="0029210C" w:rsidRDefault="0029210C" w:rsidP="0029210C">
      <w:pPr>
        <w:pStyle w:val="ListParagraph"/>
        <w:rPr>
          <w:rFonts w:cstheme="minorHAnsi"/>
          <w:sz w:val="40"/>
          <w:szCs w:val="40"/>
        </w:rPr>
      </w:pPr>
      <w:r w:rsidRPr="0029210C">
        <w:rPr>
          <w:rFonts w:cstheme="minorHAnsi"/>
          <w:sz w:val="40"/>
          <w:szCs w:val="40"/>
        </w:rPr>
        <w:t>O</w:t>
      </w:r>
      <w:r>
        <w:rPr>
          <w:rFonts w:cstheme="minorHAnsi"/>
          <w:sz w:val="40"/>
          <w:szCs w:val="40"/>
        </w:rPr>
        <w:t>utline</w:t>
      </w:r>
    </w:p>
    <w:p w14:paraId="23E8A493" w14:textId="77777777" w:rsidR="0029210C" w:rsidRPr="0029210C" w:rsidRDefault="0029210C" w:rsidP="0029210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An Overview of EHR and CEHRS</w:t>
      </w:r>
    </w:p>
    <w:p w14:paraId="2EFE5A91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What is an EHR</w:t>
      </w:r>
    </w:p>
    <w:p w14:paraId="6EE54B3C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The Importance of EHRs</w:t>
      </w:r>
    </w:p>
    <w:p w14:paraId="6D841F7A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Efforts to Encourage EHR Adoption</w:t>
      </w:r>
    </w:p>
    <w:p w14:paraId="00B86DB5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EHRs in the Future</w:t>
      </w:r>
    </w:p>
    <w:p w14:paraId="3E5558E6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The Role of a CEHRS in a Medical Practice</w:t>
      </w:r>
    </w:p>
    <w:p w14:paraId="6B404678" w14:textId="77777777" w:rsidR="0029210C" w:rsidRPr="0029210C" w:rsidRDefault="0029210C" w:rsidP="0029210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An Introduction to MOSS 3.0</w:t>
      </w:r>
    </w:p>
    <w:p w14:paraId="1BDC69E0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MOSS 3.0 Components</w:t>
      </w:r>
    </w:p>
    <w:p w14:paraId="71D668A6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Administrative</w:t>
      </w:r>
    </w:p>
    <w:p w14:paraId="4979A3F0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Clinical</w:t>
      </w:r>
    </w:p>
    <w:p w14:paraId="5A92FCF0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Billing</w:t>
      </w:r>
    </w:p>
    <w:p w14:paraId="53FE595B" w14:textId="77777777" w:rsidR="0029210C" w:rsidRPr="0029210C" w:rsidRDefault="0029210C" w:rsidP="0029210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lastRenderedPageBreak/>
        <w:t>History of EHRs</w:t>
      </w:r>
    </w:p>
    <w:p w14:paraId="5FB6CD8D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EHR Origins in Practice Management Systems</w:t>
      </w:r>
    </w:p>
    <w:p w14:paraId="02F87DBB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Major Federal Initiatives to Promote EHR Adoption</w:t>
      </w:r>
    </w:p>
    <w:p w14:paraId="11FC2ACE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MIPS</w:t>
      </w:r>
    </w:p>
    <w:p w14:paraId="1202D956" w14:textId="77777777" w:rsidR="0029210C" w:rsidRPr="0029210C" w:rsidRDefault="0029210C" w:rsidP="0029210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Steps to EHR Implementation</w:t>
      </w:r>
    </w:p>
    <w:p w14:paraId="12588113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Step 1: Assess</w:t>
      </w:r>
    </w:p>
    <w:p w14:paraId="685C7EA8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Step 2: Plan</w:t>
      </w:r>
    </w:p>
    <w:p w14:paraId="3F73DB2F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Step 3: Select</w:t>
      </w:r>
    </w:p>
    <w:p w14:paraId="5AAC5FFB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Step 4: Implement</w:t>
      </w:r>
    </w:p>
    <w:p w14:paraId="21EB0C15" w14:textId="77777777" w:rsidR="0029210C" w:rsidRPr="0029210C" w:rsidRDefault="0029210C" w:rsidP="0029210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The EHR Framework</w:t>
      </w:r>
    </w:p>
    <w:p w14:paraId="513B4AAF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EHR Architecture, Hardware, Software, Networks and Interfaces</w:t>
      </w:r>
    </w:p>
    <w:p w14:paraId="6AACF93B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Human-Computer Interface (User) Devices</w:t>
      </w:r>
    </w:p>
    <w:p w14:paraId="08E24E96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Functional, Data Content, and Vocabulary Standards</w:t>
      </w:r>
    </w:p>
    <w:p w14:paraId="6CED9786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Feature and Data Formats</w:t>
      </w:r>
    </w:p>
    <w:p w14:paraId="71DAD102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Security Controls</w:t>
      </w:r>
    </w:p>
    <w:p w14:paraId="72913821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Hybrid Health Records</w:t>
      </w:r>
    </w:p>
    <w:p w14:paraId="48233450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Disaster Recovery</w:t>
      </w:r>
    </w:p>
    <w:p w14:paraId="099AB150" w14:textId="77777777" w:rsidR="0029210C" w:rsidRPr="0029210C" w:rsidRDefault="0029210C" w:rsidP="0029210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HIPAA Requirements and EHR Systems</w:t>
      </w:r>
    </w:p>
    <w:p w14:paraId="0E911226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What is HIPAA?</w:t>
      </w:r>
    </w:p>
    <w:p w14:paraId="6E71E53D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HIPAA and CEHRS</w:t>
      </w:r>
    </w:p>
    <w:p w14:paraId="22744029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HIPAA Privacy Rule</w:t>
      </w:r>
    </w:p>
    <w:p w14:paraId="60CE270E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HIPAA Security Rule</w:t>
      </w:r>
    </w:p>
    <w:p w14:paraId="5FBD2CD6" w14:textId="77777777" w:rsidR="0029210C" w:rsidRPr="0029210C" w:rsidRDefault="0029210C" w:rsidP="0029210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The EHR and Record Content</w:t>
      </w:r>
    </w:p>
    <w:p w14:paraId="776DE508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Record Purposes</w:t>
      </w:r>
    </w:p>
    <w:p w14:paraId="4DF85533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Record Formats and Types of Data</w:t>
      </w:r>
    </w:p>
    <w:p w14:paraId="4AE95194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Record Standards</w:t>
      </w:r>
    </w:p>
    <w:p w14:paraId="73EB829D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Medical Record Content</w:t>
      </w:r>
    </w:p>
    <w:p w14:paraId="2CFEB7CC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Documentation Practices</w:t>
      </w:r>
    </w:p>
    <w:p w14:paraId="42DDE334" w14:textId="77777777" w:rsidR="0029210C" w:rsidRPr="0029210C" w:rsidRDefault="0029210C" w:rsidP="0029210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Lists, Treatment Plans, Orders, and Results</w:t>
      </w:r>
    </w:p>
    <w:p w14:paraId="5562106A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The Lists</w:t>
      </w:r>
    </w:p>
    <w:p w14:paraId="2E1C9A23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Summary Lists in the Office Workflow</w:t>
      </w:r>
    </w:p>
    <w:p w14:paraId="1A51EC36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Standards – Functional, Content, and Vocabulary</w:t>
      </w:r>
    </w:p>
    <w:p w14:paraId="53DF8FA2" w14:textId="77777777" w:rsidR="0029210C" w:rsidRPr="0029210C" w:rsidRDefault="0029210C" w:rsidP="0029210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Patient Visit Management</w:t>
      </w:r>
    </w:p>
    <w:p w14:paraId="429626A6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The EHR in an Office Workflow</w:t>
      </w:r>
    </w:p>
    <w:p w14:paraId="15557E42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Master Patient Index</w:t>
      </w:r>
    </w:p>
    <w:p w14:paraId="0BD95630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Service Payment Information</w:t>
      </w:r>
    </w:p>
    <w:p w14:paraId="2BCC295C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Scheduling</w:t>
      </w:r>
    </w:p>
    <w:p w14:paraId="525B718F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Consents, Acknowledgements, Advance Directives, and Authorizations</w:t>
      </w:r>
    </w:p>
    <w:p w14:paraId="19204B33" w14:textId="77777777" w:rsidR="0029210C" w:rsidRPr="0029210C" w:rsidRDefault="0029210C" w:rsidP="0029210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Coding, Billing, and Practice Reports</w:t>
      </w:r>
    </w:p>
    <w:p w14:paraId="06F1AB9D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lastRenderedPageBreak/>
        <w:t>Coding and Billing Workflow</w:t>
      </w:r>
    </w:p>
    <w:p w14:paraId="00514F7A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Code Sets and Clinical Vocabularies</w:t>
      </w:r>
    </w:p>
    <w:p w14:paraId="4A629997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Coding, Billing, and the EHR</w:t>
      </w:r>
    </w:p>
    <w:p w14:paraId="43AB1E62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Encoders and Computer-Assisted Coding</w:t>
      </w:r>
    </w:p>
    <w:p w14:paraId="16B96661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Electronic Bill Submission</w:t>
      </w:r>
    </w:p>
    <w:p w14:paraId="6199435F" w14:textId="77777777" w:rsidR="0029210C" w:rsidRPr="0029210C" w:rsidRDefault="0029210C" w:rsidP="0029210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Patient Communications</w:t>
      </w:r>
    </w:p>
    <w:p w14:paraId="4FBA6CD3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Patient-Focused Communication</w:t>
      </w:r>
    </w:p>
    <w:p w14:paraId="3DEDC846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Patient Portals</w:t>
      </w:r>
    </w:p>
    <w:p w14:paraId="6628F54D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Personal Health Records</w:t>
      </w:r>
    </w:p>
    <w:p w14:paraId="4C577CF0" w14:textId="77777777" w:rsidR="0029210C" w:rsidRPr="0029210C" w:rsidRDefault="0029210C" w:rsidP="0029210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Practice Reports, Research, Registries, and Reportable Events</w:t>
      </w:r>
    </w:p>
    <w:p w14:paraId="5360E797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Medical Product Development</w:t>
      </w:r>
    </w:p>
    <w:p w14:paraId="47A174FB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Practice Requirements</w:t>
      </w:r>
    </w:p>
    <w:p w14:paraId="181194F5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Standards that Support Research</w:t>
      </w:r>
    </w:p>
    <w:p w14:paraId="758C3153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Registries and Reportable Events</w:t>
      </w:r>
    </w:p>
    <w:p w14:paraId="1E4D3172" w14:textId="77777777" w:rsidR="0029210C" w:rsidRPr="0029210C" w:rsidRDefault="0029210C" w:rsidP="0029210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Personal Health Records and Continuing Care Records</w:t>
      </w:r>
    </w:p>
    <w:p w14:paraId="126E924C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Personal Health Record</w:t>
      </w:r>
    </w:p>
    <w:p w14:paraId="36EF23B5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Communication Among Providers for Continuing Care</w:t>
      </w:r>
    </w:p>
    <w:p w14:paraId="0F39B624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Continuity of Care Record</w:t>
      </w:r>
    </w:p>
    <w:p w14:paraId="340D3F52" w14:textId="77777777" w:rsidR="0029210C" w:rsidRPr="0029210C" w:rsidRDefault="0029210C" w:rsidP="0029210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C3C3C"/>
        </w:rPr>
      </w:pPr>
      <w:r w:rsidRPr="0029210C">
        <w:rPr>
          <w:rFonts w:ascii="Open Sans" w:eastAsia="Times New Roman" w:hAnsi="Open Sans" w:cs="Open Sans"/>
          <w:color w:val="3C3C3C"/>
        </w:rPr>
        <w:t>Ongoing Training and Technical Support of EHR Software</w:t>
      </w:r>
    </w:p>
    <w:p w14:paraId="6D863BBD" w14:textId="77777777" w:rsidR="000F0D03" w:rsidRPr="000B47A8" w:rsidRDefault="000F0D03" w:rsidP="000F0D03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C3C3C"/>
        </w:rPr>
      </w:pPr>
    </w:p>
    <w:p w14:paraId="0D775379" w14:textId="77777777" w:rsidR="000B47A8" w:rsidRPr="000F0D03" w:rsidRDefault="000B47A8">
      <w:pPr>
        <w:rPr>
          <w:rFonts w:cstheme="minorHAnsi"/>
        </w:rPr>
      </w:pPr>
    </w:p>
    <w:p w14:paraId="251CA08D" w14:textId="77777777" w:rsidR="000B47A8" w:rsidRPr="000F0D03" w:rsidRDefault="000B47A8">
      <w:pPr>
        <w:rPr>
          <w:rFonts w:cstheme="minorHAnsi"/>
        </w:rPr>
      </w:pPr>
    </w:p>
    <w:sectPr w:rsidR="000B47A8" w:rsidRPr="000F0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15B25"/>
    <w:multiLevelType w:val="multilevel"/>
    <w:tmpl w:val="A914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A33CC"/>
    <w:multiLevelType w:val="multilevel"/>
    <w:tmpl w:val="8F98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E36930"/>
    <w:multiLevelType w:val="multilevel"/>
    <w:tmpl w:val="5232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562CCE"/>
    <w:multiLevelType w:val="multilevel"/>
    <w:tmpl w:val="3E00FF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1B60CA"/>
    <w:multiLevelType w:val="multilevel"/>
    <w:tmpl w:val="0316D2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48219B"/>
    <w:multiLevelType w:val="multilevel"/>
    <w:tmpl w:val="E87C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3491768">
    <w:abstractNumId w:val="0"/>
  </w:num>
  <w:num w:numId="2" w16cid:durableId="1072695764">
    <w:abstractNumId w:val="1"/>
  </w:num>
  <w:num w:numId="3" w16cid:durableId="1018384163">
    <w:abstractNumId w:val="4"/>
  </w:num>
  <w:num w:numId="4" w16cid:durableId="759332427">
    <w:abstractNumId w:val="2"/>
  </w:num>
  <w:num w:numId="5" w16cid:durableId="1612664173">
    <w:abstractNumId w:val="5"/>
  </w:num>
  <w:num w:numId="6" w16cid:durableId="1688870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A8"/>
    <w:rsid w:val="000B47A8"/>
    <w:rsid w:val="000D11AF"/>
    <w:rsid w:val="000F0D03"/>
    <w:rsid w:val="0029210C"/>
    <w:rsid w:val="00C960BF"/>
    <w:rsid w:val="00D4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85B45"/>
  <w15:chartTrackingRefBased/>
  <w15:docId w15:val="{8EEFA6A6-73E2-8D4C-B1B6-C0EEB255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7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B47A8"/>
    <w:rPr>
      <w:b/>
      <w:bCs/>
    </w:rPr>
  </w:style>
  <w:style w:type="paragraph" w:styleId="ListParagraph">
    <w:name w:val="List Paragraph"/>
    <w:basedOn w:val="Normal"/>
    <w:uiPriority w:val="34"/>
    <w:qFormat/>
    <w:rsid w:val="0029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Lyons</dc:creator>
  <cp:keywords/>
  <dc:description/>
  <cp:lastModifiedBy>Christy Lyons</cp:lastModifiedBy>
  <cp:revision>2</cp:revision>
  <dcterms:created xsi:type="dcterms:W3CDTF">2022-06-22T23:13:00Z</dcterms:created>
  <dcterms:modified xsi:type="dcterms:W3CDTF">2022-06-22T23:13:00Z</dcterms:modified>
</cp:coreProperties>
</file>